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91BC" w14:textId="7F7DB24B" w:rsidR="00C57DE6" w:rsidRPr="00F83FEC" w:rsidRDefault="00C57DE6" w:rsidP="00F83FEC">
      <w:pPr>
        <w:spacing w:after="0" w:line="240" w:lineRule="auto"/>
        <w:ind w:right="-547"/>
        <w:jc w:val="both"/>
        <w:rPr>
          <w:rFonts w:ascii="Arial" w:hAnsi="Arial" w:cs="Arial"/>
          <w:sz w:val="24"/>
          <w:szCs w:val="24"/>
        </w:rPr>
      </w:pPr>
    </w:p>
    <w:p w14:paraId="3EB9283F" w14:textId="4DF30C5C" w:rsidR="00340BBB" w:rsidRPr="00F83FEC" w:rsidRDefault="00340BBB" w:rsidP="00F83FEC">
      <w:pPr>
        <w:pStyle w:val="ListParagraph"/>
        <w:ind w:left="0" w:right="-547"/>
        <w:jc w:val="both"/>
        <w:rPr>
          <w:rFonts w:ascii="Arial" w:hAnsi="Arial" w:cs="Arial"/>
        </w:rPr>
      </w:pPr>
      <w:r w:rsidRPr="00F83FEC">
        <w:rPr>
          <w:rFonts w:ascii="Arial" w:hAnsi="Arial" w:cs="Arial"/>
        </w:rPr>
        <w:t>Annual carry-over is defined as the amount of total unspent CAEP funds from prior years as a percentage of the current year’s CAEP allocation.  While annual carry-over may be planned for use for upcoming expenditures and some carryover may be a result of funding distribution delays at the state level, in some areas of the state, there are large – and growing – amounts of carry-over without a consortium-approved plan for expenditure for those funds.  This growing carryover within consortia and specifically among individual members is resulting in funding not being used to serve students each year as the needs grow and instead merely sitting in accounts without a plan for expenditure.</w:t>
      </w:r>
    </w:p>
    <w:p w14:paraId="002DF47A" w14:textId="7E0891A2" w:rsidR="00340BBB" w:rsidRPr="00F83FEC" w:rsidRDefault="00340BBB" w:rsidP="00F83FEC">
      <w:pPr>
        <w:pStyle w:val="ListParagraph"/>
        <w:ind w:left="0" w:right="-547"/>
        <w:jc w:val="both"/>
        <w:rPr>
          <w:rFonts w:ascii="Arial" w:hAnsi="Arial" w:cs="Arial"/>
        </w:rPr>
      </w:pPr>
    </w:p>
    <w:p w14:paraId="73CB812B" w14:textId="77777777" w:rsidR="00340BBB" w:rsidRPr="00F83FEC" w:rsidRDefault="00340BBB" w:rsidP="00F83FEC">
      <w:pPr>
        <w:pStyle w:val="ListParagraph"/>
        <w:ind w:left="0" w:right="-547"/>
        <w:jc w:val="both"/>
        <w:rPr>
          <w:rFonts w:ascii="Arial" w:hAnsi="Arial" w:cs="Arial"/>
        </w:rPr>
      </w:pPr>
      <w:r w:rsidRPr="00F83FEC">
        <w:rPr>
          <w:rFonts w:ascii="Arial" w:hAnsi="Arial" w:cs="Arial"/>
        </w:rPr>
        <w:t>Having any member, or consortia, carrying over a significant portion of the annual allocation creates undue tension within consortia as so many members struggle to meet unmet need within their communities.  Again, this is particularly disconcerting for K12 Adult Schools who are spending the annual allocations according to the annual plan while not having another fund source (FTES apportionment) to expand and provide much needed services.</w:t>
      </w:r>
    </w:p>
    <w:p w14:paraId="142DDE63" w14:textId="77777777" w:rsidR="00340BBB" w:rsidRPr="00F83FEC" w:rsidRDefault="00340BBB" w:rsidP="00F83FEC">
      <w:pPr>
        <w:spacing w:after="0" w:line="240" w:lineRule="auto"/>
        <w:ind w:right="-547"/>
        <w:jc w:val="both"/>
        <w:rPr>
          <w:rFonts w:ascii="Arial" w:hAnsi="Arial" w:cs="Arial"/>
          <w:sz w:val="24"/>
          <w:szCs w:val="24"/>
        </w:rPr>
      </w:pPr>
    </w:p>
    <w:p w14:paraId="10D4B7AE" w14:textId="77777777" w:rsidR="00C57DE6" w:rsidRPr="00F83FEC" w:rsidRDefault="00C57DE6" w:rsidP="00F83FEC">
      <w:pPr>
        <w:pStyle w:val="xmsonormal"/>
        <w:shd w:val="clear" w:color="auto" w:fill="FFFFFF"/>
        <w:spacing w:before="0" w:beforeAutospacing="0" w:after="0" w:afterAutospacing="0"/>
        <w:ind w:right="-547"/>
        <w:jc w:val="both"/>
        <w:rPr>
          <w:rFonts w:ascii="Arial" w:hAnsi="Arial" w:cs="Arial"/>
          <w:b/>
          <w:bCs/>
          <w:color w:val="201F1E"/>
        </w:rPr>
      </w:pPr>
      <w:r w:rsidRPr="00F83FEC">
        <w:rPr>
          <w:rFonts w:ascii="Arial" w:hAnsi="Arial" w:cs="Arial"/>
          <w:b/>
          <w:bCs/>
          <w:i/>
          <w:iCs/>
          <w:color w:val="201F1E"/>
        </w:rPr>
        <w:t>What is the current definition of carry-over and how is it different from the definition in AB-1491?</w:t>
      </w:r>
    </w:p>
    <w:p w14:paraId="4B97444F" w14:textId="77777777" w:rsidR="00C57DE6" w:rsidRPr="00F83FEC" w:rsidRDefault="00C57DE6" w:rsidP="00F83FEC">
      <w:pPr>
        <w:pStyle w:val="xmsonormal"/>
        <w:shd w:val="clear" w:color="auto" w:fill="FFFFFF"/>
        <w:spacing w:before="0" w:beforeAutospacing="0" w:after="0" w:afterAutospacing="0"/>
        <w:ind w:right="-547"/>
        <w:jc w:val="both"/>
        <w:rPr>
          <w:rFonts w:ascii="Arial" w:hAnsi="Arial" w:cs="Arial"/>
          <w:color w:val="201F1E"/>
        </w:rPr>
      </w:pPr>
      <w:r w:rsidRPr="00F83FEC">
        <w:rPr>
          <w:rFonts w:ascii="Arial" w:hAnsi="Arial" w:cs="Arial"/>
          <w:i/>
          <w:iCs/>
          <w:color w:val="201F1E"/>
        </w:rPr>
        <w:t> </w:t>
      </w:r>
    </w:p>
    <w:p w14:paraId="0A5F7A47" w14:textId="38EAC6FA" w:rsidR="00340BBB" w:rsidRPr="00F83FEC" w:rsidRDefault="00C57DE6" w:rsidP="00F83FEC">
      <w:pPr>
        <w:pStyle w:val="ListParagraph"/>
        <w:ind w:left="0" w:right="-547"/>
        <w:jc w:val="both"/>
        <w:rPr>
          <w:rFonts w:ascii="Arial" w:hAnsi="Arial" w:cs="Arial"/>
        </w:rPr>
      </w:pPr>
      <w:r w:rsidRPr="00F83FEC">
        <w:rPr>
          <w:rFonts w:ascii="Arial" w:hAnsi="Arial" w:cs="Arial"/>
          <w:color w:val="201F1E"/>
        </w:rPr>
        <w:t xml:space="preserve">Currently, the CAEP </w:t>
      </w:r>
      <w:r w:rsidR="00340BBB" w:rsidRPr="00F83FEC">
        <w:rPr>
          <w:rFonts w:ascii="Arial" w:hAnsi="Arial" w:cs="Arial"/>
          <w:color w:val="201F1E"/>
        </w:rPr>
        <w:t>O</w:t>
      </w:r>
      <w:r w:rsidRPr="00F83FEC">
        <w:rPr>
          <w:rFonts w:ascii="Arial" w:hAnsi="Arial" w:cs="Arial"/>
          <w:color w:val="201F1E"/>
        </w:rPr>
        <w:t>ffice provides a three-year spending window for CAEP allocations</w:t>
      </w:r>
      <w:r w:rsidR="00340BBB" w:rsidRPr="00F83FEC">
        <w:rPr>
          <w:rFonts w:ascii="Arial" w:hAnsi="Arial" w:cs="Arial"/>
          <w:color w:val="201F1E"/>
        </w:rPr>
        <w:t xml:space="preserve"> based on a policy decision within the Office</w:t>
      </w:r>
      <w:r w:rsidRPr="00F83FEC">
        <w:rPr>
          <w:rFonts w:ascii="Arial" w:hAnsi="Arial" w:cs="Arial"/>
          <w:color w:val="201F1E"/>
        </w:rPr>
        <w:t xml:space="preserve">. Using this time period, carry-over is defined as the funds remaining three years after the funds were first allocated. </w:t>
      </w:r>
      <w:r w:rsidR="00340BBB" w:rsidRPr="00F83FEC">
        <w:rPr>
          <w:rFonts w:ascii="Arial" w:hAnsi="Arial" w:cs="Arial"/>
        </w:rPr>
        <w:t xml:space="preserve">While processes currently allow for a three-year spending window, </w:t>
      </w:r>
      <w:r w:rsidR="00340BBB" w:rsidRPr="00F83FEC">
        <w:rPr>
          <w:rFonts w:ascii="Arial" w:hAnsi="Arial" w:cs="Arial"/>
        </w:rPr>
        <w:t>t</w:t>
      </w:r>
      <w:r w:rsidRPr="00F83FEC">
        <w:rPr>
          <w:rFonts w:ascii="Arial" w:hAnsi="Arial" w:cs="Arial"/>
          <w:color w:val="201F1E"/>
        </w:rPr>
        <w:t>he definition proposed in AB-1491 would use the more commonly understood concept that funds allocated in any given year are for use in that year</w:t>
      </w:r>
      <w:r w:rsidR="00340BBB" w:rsidRPr="00F83FEC">
        <w:rPr>
          <w:rFonts w:ascii="Arial" w:hAnsi="Arial" w:cs="Arial"/>
          <w:color w:val="201F1E"/>
        </w:rPr>
        <w:t xml:space="preserve"> in line with </w:t>
      </w:r>
      <w:r w:rsidR="00340BBB" w:rsidRPr="00F83FEC">
        <w:rPr>
          <w:rFonts w:ascii="Arial" w:hAnsi="Arial" w:cs="Arial"/>
        </w:rPr>
        <w:t>the Legislature and Administration</w:t>
      </w:r>
      <w:r w:rsidR="00340BBB" w:rsidRPr="00F83FEC">
        <w:rPr>
          <w:rFonts w:ascii="Arial" w:hAnsi="Arial" w:cs="Arial"/>
        </w:rPr>
        <w:t>’s</w:t>
      </w:r>
      <w:r w:rsidR="00340BBB" w:rsidRPr="00F83FEC">
        <w:rPr>
          <w:rFonts w:ascii="Arial" w:hAnsi="Arial" w:cs="Arial"/>
        </w:rPr>
        <w:t xml:space="preserve"> </w:t>
      </w:r>
      <w:r w:rsidR="00340BBB" w:rsidRPr="00F83FEC">
        <w:rPr>
          <w:rFonts w:ascii="Arial" w:hAnsi="Arial" w:cs="Arial"/>
        </w:rPr>
        <w:t xml:space="preserve">expectation the over </w:t>
      </w:r>
      <w:r w:rsidR="00340BBB" w:rsidRPr="00F83FEC">
        <w:rPr>
          <w:rFonts w:ascii="Arial" w:hAnsi="Arial" w:cs="Arial"/>
        </w:rPr>
        <w:t xml:space="preserve">$500 million </w:t>
      </w:r>
      <w:r w:rsidR="00340BBB" w:rsidRPr="00F83FEC">
        <w:rPr>
          <w:rFonts w:ascii="Arial" w:hAnsi="Arial" w:cs="Arial"/>
        </w:rPr>
        <w:t xml:space="preserve">allocated each year </w:t>
      </w:r>
      <w:r w:rsidR="00340BBB" w:rsidRPr="00F83FEC">
        <w:rPr>
          <w:rFonts w:ascii="Arial" w:hAnsi="Arial" w:cs="Arial"/>
        </w:rPr>
        <w:t xml:space="preserve">for </w:t>
      </w:r>
      <w:r w:rsidR="00340BBB" w:rsidRPr="00F83FEC">
        <w:rPr>
          <w:rFonts w:ascii="Arial" w:hAnsi="Arial" w:cs="Arial"/>
        </w:rPr>
        <w:t>A</w:t>
      </w:r>
      <w:r w:rsidR="00340BBB" w:rsidRPr="00F83FEC">
        <w:rPr>
          <w:rFonts w:ascii="Arial" w:hAnsi="Arial" w:cs="Arial"/>
        </w:rPr>
        <w:t xml:space="preserve">dult </w:t>
      </w:r>
      <w:r w:rsidR="00340BBB" w:rsidRPr="00F83FEC">
        <w:rPr>
          <w:rFonts w:ascii="Arial" w:hAnsi="Arial" w:cs="Arial"/>
        </w:rPr>
        <w:t>E</w:t>
      </w:r>
      <w:r w:rsidR="00340BBB" w:rsidRPr="00F83FEC">
        <w:rPr>
          <w:rFonts w:ascii="Arial" w:hAnsi="Arial" w:cs="Arial"/>
        </w:rPr>
        <w:t xml:space="preserve">ducation is being used in that fiscal year, understanding that some circumstances may result in some minimal carryover. </w:t>
      </w:r>
    </w:p>
    <w:p w14:paraId="05246A16" w14:textId="06FFAFB5" w:rsidR="00C57DE6" w:rsidRPr="00F83FEC" w:rsidRDefault="00C57DE6" w:rsidP="00F83FEC">
      <w:pPr>
        <w:pStyle w:val="xmsonormal"/>
        <w:shd w:val="clear" w:color="auto" w:fill="FFFFFF"/>
        <w:spacing w:before="0" w:beforeAutospacing="0" w:after="0" w:afterAutospacing="0"/>
        <w:ind w:right="-547"/>
        <w:jc w:val="both"/>
        <w:rPr>
          <w:rFonts w:ascii="Arial" w:hAnsi="Arial" w:cs="Arial"/>
          <w:color w:val="201F1E"/>
        </w:rPr>
      </w:pPr>
    </w:p>
    <w:p w14:paraId="6AB4DF2F" w14:textId="05977EE4" w:rsidR="00340BBB" w:rsidRPr="00F83FEC" w:rsidRDefault="00340BBB" w:rsidP="00F83FEC">
      <w:pPr>
        <w:spacing w:after="0" w:line="240" w:lineRule="auto"/>
        <w:ind w:right="-547"/>
        <w:jc w:val="both"/>
        <w:rPr>
          <w:rFonts w:ascii="Arial" w:hAnsi="Arial" w:cs="Arial"/>
          <w:sz w:val="24"/>
          <w:szCs w:val="24"/>
        </w:rPr>
      </w:pPr>
      <w:r w:rsidRPr="00F83FEC">
        <w:rPr>
          <w:rFonts w:ascii="Arial" w:hAnsi="Arial" w:cs="Arial"/>
          <w:sz w:val="24"/>
          <w:szCs w:val="24"/>
        </w:rPr>
        <w:t xml:space="preserve">Ultimately, AB 1491 would define </w:t>
      </w:r>
      <w:r w:rsidRPr="00F83FEC">
        <w:rPr>
          <w:rFonts w:ascii="Arial" w:hAnsi="Arial" w:cs="Arial"/>
          <w:sz w:val="24"/>
          <w:szCs w:val="24"/>
        </w:rPr>
        <w:t xml:space="preserve">carryover based on common knowledge and practice, a one-year budget. </w:t>
      </w:r>
    </w:p>
    <w:p w14:paraId="37E301EA" w14:textId="77777777" w:rsidR="00340BBB" w:rsidRPr="00F83FEC" w:rsidRDefault="00340BBB" w:rsidP="00F83FEC">
      <w:pPr>
        <w:pStyle w:val="ListParagraph"/>
        <w:numPr>
          <w:ilvl w:val="0"/>
          <w:numId w:val="1"/>
        </w:numPr>
        <w:ind w:right="-547"/>
        <w:contextualSpacing w:val="0"/>
        <w:jc w:val="both"/>
        <w:rPr>
          <w:rFonts w:ascii="Arial" w:hAnsi="Arial" w:cs="Arial"/>
        </w:rPr>
      </w:pPr>
      <w:r w:rsidRPr="00F83FEC">
        <w:rPr>
          <w:rFonts w:ascii="Arial" w:hAnsi="Arial" w:cs="Arial"/>
        </w:rPr>
        <w:t>The State allocates apportionment funding annually.</w:t>
      </w:r>
    </w:p>
    <w:p w14:paraId="1ACD40CE" w14:textId="77777777" w:rsidR="00340BBB" w:rsidRPr="00F83FEC" w:rsidRDefault="00340BBB" w:rsidP="00F83FEC">
      <w:pPr>
        <w:pStyle w:val="ListParagraph"/>
        <w:numPr>
          <w:ilvl w:val="0"/>
          <w:numId w:val="1"/>
        </w:numPr>
        <w:ind w:right="-547"/>
        <w:contextualSpacing w:val="0"/>
        <w:jc w:val="both"/>
        <w:rPr>
          <w:rFonts w:ascii="Arial" w:hAnsi="Arial" w:cs="Arial"/>
        </w:rPr>
      </w:pPr>
      <w:r w:rsidRPr="00F83FEC">
        <w:rPr>
          <w:rFonts w:ascii="Arial" w:hAnsi="Arial" w:cs="Arial"/>
        </w:rPr>
        <w:t>Districts setup annual budgets.</w:t>
      </w:r>
    </w:p>
    <w:p w14:paraId="4F3BEDA9" w14:textId="64875B27" w:rsidR="00340BBB" w:rsidRPr="00F83FEC" w:rsidRDefault="00340BBB" w:rsidP="00F83FEC">
      <w:pPr>
        <w:pStyle w:val="ListParagraph"/>
        <w:numPr>
          <w:ilvl w:val="0"/>
          <w:numId w:val="1"/>
        </w:numPr>
        <w:ind w:right="-547"/>
        <w:contextualSpacing w:val="0"/>
        <w:jc w:val="both"/>
        <w:rPr>
          <w:rFonts w:ascii="Arial" w:hAnsi="Arial" w:cs="Arial"/>
        </w:rPr>
      </w:pPr>
      <w:r w:rsidRPr="00F83FEC">
        <w:rPr>
          <w:rFonts w:ascii="Arial" w:hAnsi="Arial" w:cs="Arial"/>
        </w:rPr>
        <w:t>Adult Schools</w:t>
      </w:r>
      <w:r w:rsidRPr="00F83FEC">
        <w:rPr>
          <w:rFonts w:ascii="Arial" w:hAnsi="Arial" w:cs="Arial"/>
        </w:rPr>
        <w:t xml:space="preserve"> submit an annual plan with an annual budget in NOVA.</w:t>
      </w:r>
    </w:p>
    <w:p w14:paraId="49194988" w14:textId="0973B121" w:rsidR="00340BBB" w:rsidRPr="00F83FEC" w:rsidRDefault="00340BBB" w:rsidP="00F83FEC">
      <w:pPr>
        <w:pStyle w:val="ListParagraph"/>
        <w:numPr>
          <w:ilvl w:val="0"/>
          <w:numId w:val="1"/>
        </w:numPr>
        <w:ind w:right="-547"/>
        <w:contextualSpacing w:val="0"/>
        <w:jc w:val="both"/>
        <w:rPr>
          <w:rFonts w:ascii="Arial" w:hAnsi="Arial" w:cs="Arial"/>
        </w:rPr>
      </w:pPr>
      <w:r w:rsidRPr="00F83FEC">
        <w:rPr>
          <w:rFonts w:ascii="Arial" w:hAnsi="Arial" w:cs="Arial"/>
        </w:rPr>
        <w:t>Adult Schools</w:t>
      </w:r>
      <w:r w:rsidRPr="00F83FEC">
        <w:rPr>
          <w:rFonts w:ascii="Arial" w:hAnsi="Arial" w:cs="Arial"/>
        </w:rPr>
        <w:t xml:space="preserve"> report our annual expenditures in NOVA.</w:t>
      </w:r>
    </w:p>
    <w:p w14:paraId="6A26B7C7" w14:textId="77777777" w:rsidR="00340BBB" w:rsidRPr="00F83FEC" w:rsidRDefault="00340BBB" w:rsidP="00F83FEC">
      <w:pPr>
        <w:pStyle w:val="ListParagraph"/>
        <w:numPr>
          <w:ilvl w:val="0"/>
          <w:numId w:val="1"/>
        </w:numPr>
        <w:ind w:right="-547"/>
        <w:contextualSpacing w:val="0"/>
        <w:jc w:val="both"/>
        <w:rPr>
          <w:rFonts w:ascii="Arial" w:hAnsi="Arial" w:cs="Arial"/>
        </w:rPr>
      </w:pPr>
      <w:r w:rsidRPr="00F83FEC">
        <w:rPr>
          <w:rFonts w:ascii="Arial" w:hAnsi="Arial" w:cs="Arial"/>
        </w:rPr>
        <w:t xml:space="preserve">Reserves are calculated on an annual basis. </w:t>
      </w:r>
    </w:p>
    <w:p w14:paraId="74886564" w14:textId="77777777" w:rsidR="00340BBB" w:rsidRPr="00F83FEC" w:rsidRDefault="00340BBB" w:rsidP="00F83FEC">
      <w:pPr>
        <w:pStyle w:val="xmsonormal"/>
        <w:shd w:val="clear" w:color="auto" w:fill="FFFFFF"/>
        <w:spacing w:before="0" w:beforeAutospacing="0" w:after="0" w:afterAutospacing="0"/>
        <w:ind w:right="-547"/>
        <w:jc w:val="both"/>
        <w:rPr>
          <w:rFonts w:ascii="Arial" w:hAnsi="Arial" w:cs="Arial"/>
          <w:color w:val="201F1E"/>
        </w:rPr>
      </w:pPr>
    </w:p>
    <w:p w14:paraId="4205F43D" w14:textId="77777777" w:rsidR="00340BBB" w:rsidRPr="00F83FEC" w:rsidRDefault="00340BBB" w:rsidP="00F83FEC">
      <w:pPr>
        <w:spacing w:after="0" w:line="240" w:lineRule="auto"/>
        <w:ind w:right="-547"/>
        <w:jc w:val="both"/>
        <w:rPr>
          <w:rFonts w:ascii="Arial" w:hAnsi="Arial" w:cs="Arial"/>
          <w:b/>
          <w:bCs/>
          <w:i/>
          <w:iCs/>
          <w:sz w:val="24"/>
          <w:szCs w:val="24"/>
        </w:rPr>
      </w:pPr>
      <w:r w:rsidRPr="00F83FEC">
        <w:rPr>
          <w:rFonts w:ascii="Arial" w:hAnsi="Arial" w:cs="Arial"/>
          <w:b/>
          <w:bCs/>
          <w:i/>
          <w:iCs/>
          <w:sz w:val="24"/>
          <w:szCs w:val="24"/>
        </w:rPr>
        <w:t>CAEP Apportionment vs Grant</w:t>
      </w:r>
    </w:p>
    <w:p w14:paraId="448420AC" w14:textId="77777777" w:rsidR="00340BBB" w:rsidRPr="00F83FEC" w:rsidRDefault="00340BBB" w:rsidP="00F83FEC">
      <w:pPr>
        <w:spacing w:after="0" w:line="240" w:lineRule="auto"/>
        <w:ind w:right="-547"/>
        <w:jc w:val="both"/>
        <w:rPr>
          <w:rFonts w:ascii="Arial" w:hAnsi="Arial" w:cs="Arial"/>
          <w:sz w:val="24"/>
          <w:szCs w:val="24"/>
        </w:rPr>
      </w:pPr>
    </w:p>
    <w:p w14:paraId="79779987" w14:textId="652D059E" w:rsidR="00340BBB" w:rsidRPr="00F83FEC" w:rsidRDefault="00340BBB" w:rsidP="00F83FEC">
      <w:pPr>
        <w:spacing w:after="0" w:line="240" w:lineRule="auto"/>
        <w:ind w:right="-547"/>
        <w:jc w:val="both"/>
        <w:rPr>
          <w:rFonts w:ascii="Arial" w:hAnsi="Arial" w:cs="Arial"/>
          <w:sz w:val="24"/>
          <w:szCs w:val="24"/>
        </w:rPr>
      </w:pPr>
      <w:r w:rsidRPr="00F83FEC">
        <w:rPr>
          <w:rFonts w:ascii="Arial" w:hAnsi="Arial" w:cs="Arial"/>
          <w:sz w:val="24"/>
          <w:szCs w:val="24"/>
        </w:rPr>
        <w:t xml:space="preserve">Unfortunately, the opposition to the bill continues to refer back </w:t>
      </w:r>
      <w:r w:rsidRPr="00F83FEC">
        <w:rPr>
          <w:rFonts w:ascii="Arial" w:hAnsi="Arial" w:cs="Arial"/>
          <w:sz w:val="24"/>
          <w:szCs w:val="24"/>
        </w:rPr>
        <w:t>to a three-year spending window that exists currently</w:t>
      </w:r>
      <w:r w:rsidRPr="00F83FEC">
        <w:rPr>
          <w:rFonts w:ascii="Arial" w:hAnsi="Arial" w:cs="Arial"/>
          <w:sz w:val="24"/>
          <w:szCs w:val="24"/>
        </w:rPr>
        <w:t xml:space="preserve"> as a policy decision under the CAEP Office</w:t>
      </w:r>
      <w:r w:rsidRPr="00F83FEC">
        <w:rPr>
          <w:rFonts w:ascii="Arial" w:hAnsi="Arial" w:cs="Arial"/>
          <w:sz w:val="24"/>
          <w:szCs w:val="24"/>
        </w:rPr>
        <w:t xml:space="preserve">. </w:t>
      </w:r>
      <w:r w:rsidRPr="00F83FEC">
        <w:rPr>
          <w:rFonts w:ascii="Arial" w:hAnsi="Arial" w:cs="Arial"/>
          <w:sz w:val="24"/>
          <w:szCs w:val="24"/>
        </w:rPr>
        <w:t xml:space="preserve">  However, the </w:t>
      </w:r>
      <w:r w:rsidRPr="00F83FEC">
        <w:rPr>
          <w:rFonts w:ascii="Arial" w:hAnsi="Arial" w:cs="Arial"/>
          <w:sz w:val="24"/>
          <w:szCs w:val="24"/>
        </w:rPr>
        <w:t xml:space="preserve">whole point is that this </w:t>
      </w:r>
      <w:r w:rsidRPr="00F83FEC">
        <w:rPr>
          <w:rFonts w:ascii="Arial" w:hAnsi="Arial" w:cs="Arial"/>
          <w:sz w:val="24"/>
          <w:szCs w:val="24"/>
        </w:rPr>
        <w:t xml:space="preserve">policy that sets a </w:t>
      </w:r>
      <w:r w:rsidRPr="00F83FEC">
        <w:rPr>
          <w:rFonts w:ascii="Arial" w:hAnsi="Arial" w:cs="Arial"/>
          <w:sz w:val="24"/>
          <w:szCs w:val="24"/>
        </w:rPr>
        <w:t xml:space="preserve">three-year window is what is causing these huge carryover amounts. The three-year window is used for grants that are typically one-time or have a short funding life. CAEP is Adult Education apportionment, like FTES. </w:t>
      </w:r>
      <w:r w:rsidR="00F83FEC" w:rsidRPr="00F83FEC">
        <w:rPr>
          <w:rFonts w:ascii="Arial" w:hAnsi="Arial" w:cs="Arial"/>
          <w:sz w:val="24"/>
          <w:szCs w:val="24"/>
        </w:rPr>
        <w:t xml:space="preserve"> It is for that reason the name was changed a few years ago to remove reference to “grant” in acknowledgement of the funding being ongoing.   Opponents continue to view and use </w:t>
      </w:r>
      <w:r w:rsidRPr="00F83FEC">
        <w:rPr>
          <w:rFonts w:ascii="Arial" w:hAnsi="Arial" w:cs="Arial"/>
          <w:sz w:val="24"/>
          <w:szCs w:val="24"/>
        </w:rPr>
        <w:t xml:space="preserve">CAEP </w:t>
      </w:r>
      <w:r w:rsidR="00F83FEC" w:rsidRPr="00F83FEC">
        <w:rPr>
          <w:rFonts w:ascii="Arial" w:hAnsi="Arial" w:cs="Arial"/>
          <w:sz w:val="24"/>
          <w:szCs w:val="24"/>
        </w:rPr>
        <w:t xml:space="preserve">funding as </w:t>
      </w:r>
      <w:r w:rsidRPr="00F83FEC">
        <w:rPr>
          <w:rFonts w:ascii="Arial" w:hAnsi="Arial" w:cs="Arial"/>
          <w:sz w:val="24"/>
          <w:szCs w:val="24"/>
        </w:rPr>
        <w:t xml:space="preserve">grant </w:t>
      </w:r>
      <w:r w:rsidR="00F83FEC" w:rsidRPr="00F83FEC">
        <w:rPr>
          <w:rFonts w:ascii="Arial" w:hAnsi="Arial" w:cs="Arial"/>
          <w:sz w:val="24"/>
          <w:szCs w:val="24"/>
        </w:rPr>
        <w:t xml:space="preserve">funding, </w:t>
      </w:r>
      <w:r w:rsidRPr="00F83FEC">
        <w:rPr>
          <w:rFonts w:ascii="Arial" w:hAnsi="Arial" w:cs="Arial"/>
          <w:sz w:val="24"/>
          <w:szCs w:val="24"/>
        </w:rPr>
        <w:t xml:space="preserve">further </w:t>
      </w:r>
      <w:r w:rsidRPr="00F83FEC">
        <w:rPr>
          <w:rFonts w:ascii="Arial" w:hAnsi="Arial" w:cs="Arial"/>
          <w:sz w:val="24"/>
          <w:szCs w:val="24"/>
        </w:rPr>
        <w:lastRenderedPageBreak/>
        <w:t xml:space="preserve">highlighting the disparity in funding between </w:t>
      </w:r>
      <w:r w:rsidR="00F83FEC" w:rsidRPr="00F83FEC">
        <w:rPr>
          <w:rFonts w:ascii="Arial" w:hAnsi="Arial" w:cs="Arial"/>
          <w:sz w:val="24"/>
          <w:szCs w:val="24"/>
        </w:rPr>
        <w:t xml:space="preserve">the </w:t>
      </w:r>
      <w:r w:rsidRPr="00F83FEC">
        <w:rPr>
          <w:rFonts w:ascii="Arial" w:hAnsi="Arial" w:cs="Arial"/>
          <w:sz w:val="24"/>
          <w:szCs w:val="24"/>
        </w:rPr>
        <w:t>two systems</w:t>
      </w:r>
      <w:r w:rsidR="00F83FEC" w:rsidRPr="00F83FEC">
        <w:rPr>
          <w:rFonts w:ascii="Arial" w:hAnsi="Arial" w:cs="Arial"/>
          <w:sz w:val="24"/>
          <w:szCs w:val="24"/>
        </w:rPr>
        <w:t xml:space="preserve"> where Adult Schools have no other funding beyond CAEP funding</w:t>
      </w:r>
      <w:r w:rsidRPr="00F83FEC">
        <w:rPr>
          <w:rFonts w:ascii="Arial" w:hAnsi="Arial" w:cs="Arial"/>
          <w:sz w:val="24"/>
          <w:szCs w:val="24"/>
        </w:rPr>
        <w:t>.</w:t>
      </w:r>
    </w:p>
    <w:p w14:paraId="0816A097" w14:textId="77777777" w:rsidR="00340BBB" w:rsidRPr="00F83FEC" w:rsidRDefault="00340BBB" w:rsidP="00F83FEC">
      <w:pPr>
        <w:pStyle w:val="xmsonormal"/>
        <w:shd w:val="clear" w:color="auto" w:fill="FFFFFF"/>
        <w:spacing w:before="0" w:beforeAutospacing="0" w:after="0" w:afterAutospacing="0"/>
        <w:ind w:right="-547"/>
        <w:jc w:val="both"/>
        <w:rPr>
          <w:rFonts w:ascii="Arial" w:hAnsi="Arial" w:cs="Arial"/>
          <w:b/>
          <w:bCs/>
          <w:i/>
          <w:iCs/>
          <w:color w:val="201F1E"/>
        </w:rPr>
      </w:pPr>
    </w:p>
    <w:p w14:paraId="61068A3C" w14:textId="2FA69794" w:rsidR="00C57DE6" w:rsidRPr="00F83FEC" w:rsidRDefault="00C57DE6" w:rsidP="00F83FEC">
      <w:pPr>
        <w:pStyle w:val="xmsonormal"/>
        <w:shd w:val="clear" w:color="auto" w:fill="FFFFFF"/>
        <w:spacing w:before="0" w:beforeAutospacing="0" w:after="0" w:afterAutospacing="0"/>
        <w:ind w:right="-547"/>
        <w:jc w:val="both"/>
        <w:rPr>
          <w:rFonts w:ascii="Arial" w:hAnsi="Arial" w:cs="Arial"/>
          <w:color w:val="201F1E"/>
        </w:rPr>
      </w:pPr>
      <w:r w:rsidRPr="00F83FEC">
        <w:rPr>
          <w:rFonts w:ascii="Arial" w:hAnsi="Arial" w:cs="Arial"/>
          <w:color w:val="201F1E"/>
        </w:rPr>
        <w:t> </w:t>
      </w:r>
    </w:p>
    <w:p w14:paraId="56D7CDEF" w14:textId="0C93C31C" w:rsidR="00340BBB" w:rsidRPr="00F83FEC" w:rsidRDefault="00340BBB" w:rsidP="00F83FEC">
      <w:pPr>
        <w:pStyle w:val="xmsonormal"/>
        <w:shd w:val="clear" w:color="auto" w:fill="FFFFFF"/>
        <w:spacing w:before="0" w:beforeAutospacing="0" w:after="0" w:afterAutospacing="0"/>
        <w:ind w:right="-547"/>
        <w:jc w:val="both"/>
        <w:rPr>
          <w:rFonts w:ascii="Arial" w:hAnsi="Arial" w:cs="Arial"/>
          <w:b/>
          <w:bCs/>
          <w:i/>
          <w:iCs/>
          <w:color w:val="201F1E"/>
        </w:rPr>
      </w:pPr>
      <w:r w:rsidRPr="00F83FEC">
        <w:rPr>
          <w:rFonts w:ascii="Arial" w:hAnsi="Arial" w:cs="Arial"/>
          <w:b/>
          <w:bCs/>
          <w:i/>
          <w:iCs/>
          <w:color w:val="201F1E"/>
        </w:rPr>
        <w:t>What is the basis for the 15% carryover threshold in the bill?</w:t>
      </w:r>
    </w:p>
    <w:p w14:paraId="1BB0B0A9" w14:textId="647612AB" w:rsidR="00340BBB" w:rsidRPr="00F83FEC" w:rsidRDefault="00340BBB" w:rsidP="00F83FEC">
      <w:pPr>
        <w:pStyle w:val="xmsonormal"/>
        <w:shd w:val="clear" w:color="auto" w:fill="FFFFFF"/>
        <w:spacing w:before="0" w:beforeAutospacing="0" w:after="0" w:afterAutospacing="0"/>
        <w:ind w:right="-547"/>
        <w:jc w:val="both"/>
        <w:rPr>
          <w:rFonts w:ascii="Arial" w:hAnsi="Arial" w:cs="Arial"/>
          <w:b/>
          <w:bCs/>
          <w:i/>
          <w:iCs/>
          <w:color w:val="201F1E"/>
        </w:rPr>
      </w:pPr>
    </w:p>
    <w:p w14:paraId="7C029363" w14:textId="77777777" w:rsidR="00340BBB" w:rsidRPr="00F83FEC" w:rsidRDefault="00340BBB" w:rsidP="00F83FEC">
      <w:pPr>
        <w:spacing w:after="0" w:line="240" w:lineRule="auto"/>
        <w:ind w:right="-547"/>
        <w:jc w:val="both"/>
        <w:rPr>
          <w:rFonts w:ascii="Arial" w:hAnsi="Arial" w:cs="Arial"/>
          <w:sz w:val="24"/>
          <w:szCs w:val="24"/>
        </w:rPr>
      </w:pPr>
      <w:r w:rsidRPr="00F83FEC">
        <w:rPr>
          <w:rFonts w:ascii="Arial" w:hAnsi="Arial" w:cs="Arial"/>
          <w:sz w:val="24"/>
          <w:szCs w:val="24"/>
        </w:rPr>
        <w:t>AB 1491 seeks to</w:t>
      </w:r>
      <w:r w:rsidRPr="00F83FEC">
        <w:rPr>
          <w:rFonts w:ascii="Arial" w:hAnsi="Arial" w:cs="Arial"/>
          <w:sz w:val="24"/>
          <w:szCs w:val="24"/>
          <w:u w:val="single"/>
        </w:rPr>
        <w:t xml:space="preserve"> </w:t>
      </w:r>
      <w:r w:rsidRPr="00F83FEC">
        <w:rPr>
          <w:rFonts w:ascii="Arial" w:hAnsi="Arial" w:cs="Arial"/>
          <w:sz w:val="24"/>
          <w:szCs w:val="24"/>
        </w:rPr>
        <w:t>establish clear criteria, accountability and a maximum threshold (</w:t>
      </w:r>
      <w:r w:rsidRPr="00F83FEC">
        <w:rPr>
          <w:rFonts w:ascii="Arial" w:hAnsi="Arial" w:cs="Arial"/>
          <w:sz w:val="24"/>
          <w:szCs w:val="24"/>
        </w:rPr>
        <w:t xml:space="preserve">currently </w:t>
      </w:r>
      <w:r w:rsidRPr="00F83FEC">
        <w:rPr>
          <w:rFonts w:ascii="Arial" w:hAnsi="Arial" w:cs="Arial"/>
          <w:sz w:val="24"/>
          <w:szCs w:val="24"/>
        </w:rPr>
        <w:t xml:space="preserve">proposed at 15%) for consortia members to carryover from year to year so as to ensure the maximum amount is used to support growing student needs in the budget year, allowing for exceptions as outlined and defined by consortia plans.  </w:t>
      </w:r>
      <w:r w:rsidRPr="00F83FEC">
        <w:rPr>
          <w:rFonts w:ascii="Arial" w:hAnsi="Arial" w:cs="Arial"/>
          <w:sz w:val="24"/>
          <w:szCs w:val="24"/>
        </w:rPr>
        <w:t>This threshold is based on</w:t>
      </w:r>
      <w:r w:rsidRPr="00F83FEC">
        <w:rPr>
          <w:rFonts w:ascii="Arial" w:hAnsi="Arial" w:cs="Arial"/>
          <w:sz w:val="24"/>
          <w:szCs w:val="24"/>
        </w:rPr>
        <w:t xml:space="preserve"> guidance from California education budgeting experts (</w:t>
      </w:r>
      <w:r w:rsidRPr="00F83FEC">
        <w:rPr>
          <w:rFonts w:ascii="Arial" w:hAnsi="Arial" w:cs="Arial"/>
          <w:sz w:val="24"/>
          <w:szCs w:val="24"/>
        </w:rPr>
        <w:t>School Services of California</w:t>
      </w:r>
      <w:r w:rsidRPr="00F83FEC">
        <w:rPr>
          <w:rFonts w:ascii="Arial" w:hAnsi="Arial" w:cs="Arial"/>
          <w:sz w:val="24"/>
          <w:szCs w:val="24"/>
        </w:rPr>
        <w:t xml:space="preserve">, </w:t>
      </w:r>
      <w:r w:rsidRPr="00F83FEC">
        <w:rPr>
          <w:rFonts w:ascii="Arial" w:hAnsi="Arial" w:cs="Arial"/>
          <w:sz w:val="24"/>
          <w:szCs w:val="24"/>
        </w:rPr>
        <w:t>California Association of School Business Officials (</w:t>
      </w:r>
      <w:r w:rsidRPr="00F83FEC">
        <w:rPr>
          <w:rFonts w:ascii="Arial" w:hAnsi="Arial" w:cs="Arial"/>
          <w:sz w:val="24"/>
          <w:szCs w:val="24"/>
        </w:rPr>
        <w:t>CASBO</w:t>
      </w:r>
      <w:r w:rsidRPr="00F83FEC">
        <w:rPr>
          <w:rFonts w:ascii="Arial" w:hAnsi="Arial" w:cs="Arial"/>
          <w:sz w:val="24"/>
          <w:szCs w:val="24"/>
        </w:rPr>
        <w:t>)</w:t>
      </w:r>
      <w:r w:rsidRPr="00F83FEC">
        <w:rPr>
          <w:rFonts w:ascii="Arial" w:hAnsi="Arial" w:cs="Arial"/>
          <w:sz w:val="24"/>
          <w:szCs w:val="24"/>
        </w:rPr>
        <w:t xml:space="preserve">, </w:t>
      </w:r>
      <w:r w:rsidRPr="00F83FEC">
        <w:rPr>
          <w:rFonts w:ascii="Arial" w:hAnsi="Arial" w:cs="Arial"/>
          <w:sz w:val="24"/>
          <w:szCs w:val="24"/>
        </w:rPr>
        <w:t>and Association of California School Administrators (</w:t>
      </w:r>
      <w:r w:rsidRPr="00F83FEC">
        <w:rPr>
          <w:rFonts w:ascii="Arial" w:hAnsi="Arial" w:cs="Arial"/>
          <w:sz w:val="24"/>
          <w:szCs w:val="24"/>
        </w:rPr>
        <w:t>ACSA)</w:t>
      </w:r>
      <w:r w:rsidRPr="00F83FEC">
        <w:rPr>
          <w:rFonts w:ascii="Arial" w:hAnsi="Arial" w:cs="Arial"/>
          <w:sz w:val="24"/>
          <w:szCs w:val="24"/>
        </w:rPr>
        <w:t>) who</w:t>
      </w:r>
      <w:r w:rsidRPr="00F83FEC">
        <w:rPr>
          <w:rFonts w:ascii="Arial" w:hAnsi="Arial" w:cs="Arial"/>
          <w:sz w:val="24"/>
          <w:szCs w:val="24"/>
        </w:rPr>
        <w:t xml:space="preserve"> recommend two months of operating expenses </w:t>
      </w:r>
      <w:r w:rsidRPr="00F83FEC">
        <w:rPr>
          <w:rFonts w:ascii="Arial" w:hAnsi="Arial" w:cs="Arial"/>
          <w:sz w:val="24"/>
          <w:szCs w:val="24"/>
        </w:rPr>
        <w:t xml:space="preserve">be held in reserve.   </w:t>
      </w:r>
      <w:r w:rsidRPr="00F83FEC">
        <w:rPr>
          <w:rFonts w:ascii="Arial" w:hAnsi="Arial" w:cs="Arial"/>
          <w:sz w:val="24"/>
          <w:szCs w:val="24"/>
        </w:rPr>
        <w:t xml:space="preserve">This equates to </w:t>
      </w:r>
      <w:r w:rsidRPr="00F83FEC">
        <w:rPr>
          <w:rFonts w:ascii="Arial" w:hAnsi="Arial" w:cs="Arial"/>
          <w:sz w:val="24"/>
          <w:szCs w:val="24"/>
        </w:rPr>
        <w:t xml:space="preserve">roughly </w:t>
      </w:r>
      <w:r w:rsidRPr="00F83FEC">
        <w:rPr>
          <w:rFonts w:ascii="Arial" w:hAnsi="Arial" w:cs="Arial"/>
          <w:sz w:val="24"/>
          <w:szCs w:val="24"/>
        </w:rPr>
        <w:t>15-20%</w:t>
      </w:r>
      <w:r w:rsidRPr="00F83FEC">
        <w:rPr>
          <w:rFonts w:ascii="Arial" w:hAnsi="Arial" w:cs="Arial"/>
          <w:sz w:val="24"/>
          <w:szCs w:val="24"/>
        </w:rPr>
        <w:t xml:space="preserve"> of an agency’s annual allocation.  </w:t>
      </w:r>
    </w:p>
    <w:p w14:paraId="2ABE812F" w14:textId="77777777" w:rsidR="00340BBB" w:rsidRPr="00F83FEC" w:rsidRDefault="00340BBB" w:rsidP="00F83FEC">
      <w:pPr>
        <w:pStyle w:val="xmsonormal"/>
        <w:shd w:val="clear" w:color="auto" w:fill="FFFFFF"/>
        <w:spacing w:before="0" w:beforeAutospacing="0" w:after="0" w:afterAutospacing="0"/>
        <w:ind w:right="-547"/>
        <w:jc w:val="both"/>
        <w:rPr>
          <w:rFonts w:ascii="Arial" w:hAnsi="Arial" w:cs="Arial"/>
          <w:b/>
          <w:bCs/>
          <w:i/>
          <w:iCs/>
          <w:color w:val="201F1E"/>
        </w:rPr>
      </w:pPr>
    </w:p>
    <w:p w14:paraId="52F1FB22" w14:textId="395A4362" w:rsidR="00C57DE6" w:rsidRPr="00F83FEC" w:rsidRDefault="00C57DE6" w:rsidP="00F83FEC">
      <w:pPr>
        <w:pStyle w:val="xmsonormal"/>
        <w:shd w:val="clear" w:color="auto" w:fill="FFFFFF"/>
        <w:spacing w:before="0" w:beforeAutospacing="0" w:after="0" w:afterAutospacing="0"/>
        <w:ind w:right="-547"/>
        <w:jc w:val="both"/>
        <w:rPr>
          <w:rFonts w:ascii="Arial" w:hAnsi="Arial" w:cs="Arial"/>
          <w:b/>
          <w:bCs/>
          <w:color w:val="201F1E"/>
        </w:rPr>
      </w:pPr>
      <w:r w:rsidRPr="00F83FEC">
        <w:rPr>
          <w:rFonts w:ascii="Arial" w:hAnsi="Arial" w:cs="Arial"/>
          <w:b/>
          <w:bCs/>
          <w:i/>
          <w:iCs/>
          <w:color w:val="201F1E"/>
        </w:rPr>
        <w:t>How does this difference impact the calculation of carry-over as compared to the proposed definition?</w:t>
      </w:r>
    </w:p>
    <w:p w14:paraId="283C314D" w14:textId="77777777" w:rsidR="00C57DE6" w:rsidRPr="00F83FEC" w:rsidRDefault="00C57DE6" w:rsidP="00F83FEC">
      <w:pPr>
        <w:pStyle w:val="xmsonormal"/>
        <w:shd w:val="clear" w:color="auto" w:fill="FFFFFF"/>
        <w:spacing w:before="0" w:beforeAutospacing="0" w:after="0" w:afterAutospacing="0"/>
        <w:ind w:right="-547"/>
        <w:jc w:val="both"/>
        <w:rPr>
          <w:rFonts w:ascii="Arial" w:hAnsi="Arial" w:cs="Arial"/>
          <w:color w:val="201F1E"/>
        </w:rPr>
      </w:pPr>
      <w:r w:rsidRPr="00F83FEC">
        <w:rPr>
          <w:rFonts w:ascii="Arial" w:hAnsi="Arial" w:cs="Arial"/>
          <w:color w:val="201F1E"/>
        </w:rPr>
        <w:t> </w:t>
      </w:r>
    </w:p>
    <w:p w14:paraId="283C2AAB" w14:textId="77777777" w:rsidR="00C57DE6" w:rsidRPr="00F83FEC" w:rsidRDefault="00C57DE6" w:rsidP="00F83FEC">
      <w:pPr>
        <w:pStyle w:val="xmsonormal"/>
        <w:shd w:val="clear" w:color="auto" w:fill="FFFFFF"/>
        <w:spacing w:before="0" w:beforeAutospacing="0" w:after="0" w:afterAutospacing="0"/>
        <w:ind w:right="-547"/>
        <w:jc w:val="both"/>
        <w:rPr>
          <w:rFonts w:ascii="Arial" w:hAnsi="Arial" w:cs="Arial"/>
          <w:color w:val="201F1E"/>
        </w:rPr>
      </w:pPr>
      <w:r w:rsidRPr="00F83FEC">
        <w:rPr>
          <w:rFonts w:ascii="Arial" w:hAnsi="Arial" w:cs="Arial"/>
          <w:color w:val="201F1E"/>
        </w:rPr>
        <w:t>The currently used definition results in a minimal carry-over as most recently reported by the CCCCO to be between 4 and 10 percent. When using the more commonly used definition proposed in AB-1491 the carry-over is estimated to be over $130 million or 24% of the 2020-21 allocation of $546 million. When looking close at individual consortia these percentages increase significantly more than 20 agencies having a carrying over of more than 100% in 2020-21.</w:t>
      </w:r>
    </w:p>
    <w:p w14:paraId="273DB7D7" w14:textId="77777777" w:rsidR="00C57DE6" w:rsidRPr="00F83FEC" w:rsidRDefault="00C57DE6" w:rsidP="00F83FEC">
      <w:pPr>
        <w:pStyle w:val="xmsonormal"/>
        <w:shd w:val="clear" w:color="auto" w:fill="FFFFFF"/>
        <w:spacing w:before="0" w:beforeAutospacing="0" w:after="0" w:afterAutospacing="0"/>
        <w:ind w:right="-547"/>
        <w:jc w:val="both"/>
        <w:rPr>
          <w:rFonts w:ascii="Arial" w:hAnsi="Arial" w:cs="Arial"/>
          <w:color w:val="201F1E"/>
        </w:rPr>
      </w:pPr>
      <w:r w:rsidRPr="00F83FEC">
        <w:rPr>
          <w:rFonts w:ascii="Arial" w:hAnsi="Arial" w:cs="Arial"/>
          <w:color w:val="201F1E"/>
        </w:rPr>
        <w:t> </w:t>
      </w:r>
    </w:p>
    <w:p w14:paraId="05C28528" w14:textId="77777777" w:rsidR="00C57DE6" w:rsidRPr="00F83FEC" w:rsidRDefault="00C57DE6" w:rsidP="00F83FEC">
      <w:pPr>
        <w:pStyle w:val="xmsonormal"/>
        <w:shd w:val="clear" w:color="auto" w:fill="FFFFFF"/>
        <w:spacing w:before="0" w:beforeAutospacing="0" w:after="0" w:afterAutospacing="0"/>
        <w:ind w:right="-547"/>
        <w:jc w:val="both"/>
        <w:rPr>
          <w:rFonts w:ascii="Arial" w:hAnsi="Arial" w:cs="Arial"/>
          <w:b/>
          <w:bCs/>
          <w:color w:val="201F1E"/>
        </w:rPr>
      </w:pPr>
      <w:r w:rsidRPr="00F83FEC">
        <w:rPr>
          <w:rFonts w:ascii="Arial" w:hAnsi="Arial" w:cs="Arial"/>
          <w:b/>
          <w:bCs/>
          <w:i/>
          <w:iCs/>
          <w:color w:val="201F1E"/>
        </w:rPr>
        <w:t>Does AB-1491 take away local decision making?</w:t>
      </w:r>
    </w:p>
    <w:p w14:paraId="127AFF0A" w14:textId="77777777" w:rsidR="00C57DE6" w:rsidRPr="00F83FEC" w:rsidRDefault="00C57DE6" w:rsidP="00F83FEC">
      <w:pPr>
        <w:pStyle w:val="xmsonormal"/>
        <w:shd w:val="clear" w:color="auto" w:fill="FFFFFF"/>
        <w:spacing w:before="0" w:beforeAutospacing="0" w:after="0" w:afterAutospacing="0"/>
        <w:ind w:right="-547"/>
        <w:jc w:val="both"/>
        <w:rPr>
          <w:rFonts w:ascii="Arial" w:hAnsi="Arial" w:cs="Arial"/>
          <w:color w:val="201F1E"/>
        </w:rPr>
      </w:pPr>
      <w:r w:rsidRPr="00F83FEC">
        <w:rPr>
          <w:rFonts w:ascii="Arial" w:hAnsi="Arial" w:cs="Arial"/>
          <w:color w:val="201F1E"/>
        </w:rPr>
        <w:t> </w:t>
      </w:r>
    </w:p>
    <w:p w14:paraId="1396DC41" w14:textId="77777777" w:rsidR="00C57DE6" w:rsidRPr="00F83FEC" w:rsidRDefault="00C57DE6" w:rsidP="00F83FEC">
      <w:pPr>
        <w:pStyle w:val="xmsonormal"/>
        <w:shd w:val="clear" w:color="auto" w:fill="FFFFFF"/>
        <w:spacing w:before="0" w:beforeAutospacing="0" w:after="0" w:afterAutospacing="0"/>
        <w:ind w:right="-547"/>
        <w:jc w:val="both"/>
        <w:rPr>
          <w:rFonts w:ascii="Arial" w:hAnsi="Arial" w:cs="Arial"/>
          <w:color w:val="201F1E"/>
        </w:rPr>
      </w:pPr>
      <w:r w:rsidRPr="00F83FEC">
        <w:rPr>
          <w:rFonts w:ascii="Arial" w:hAnsi="Arial" w:cs="Arial"/>
          <w:color w:val="201F1E"/>
        </w:rPr>
        <w:t>While AB-1491 would mandate consortia address carry-overs great than 15% it allows for the local consortium to determine how to best address the issue based on their regional needs and priorities. Indeed, the proposed language does not mandate an immediate reallocation but gives agencies who are above 15% carry-over up to two years to spend down the carryover be providing services to the community in accordance with the local consortium plan.</w:t>
      </w:r>
    </w:p>
    <w:p w14:paraId="2191039E" w14:textId="0B3D7A42" w:rsidR="00C57DE6" w:rsidRPr="00F83FEC" w:rsidRDefault="00C57DE6" w:rsidP="00F83FEC">
      <w:pPr>
        <w:spacing w:after="0" w:line="240" w:lineRule="auto"/>
        <w:ind w:right="-547"/>
        <w:jc w:val="both"/>
        <w:rPr>
          <w:rFonts w:ascii="Arial" w:hAnsi="Arial" w:cs="Arial"/>
          <w:sz w:val="24"/>
          <w:szCs w:val="24"/>
        </w:rPr>
      </w:pPr>
    </w:p>
    <w:p w14:paraId="0A539335" w14:textId="309D5521" w:rsidR="00F83FEC" w:rsidRPr="00F83FEC" w:rsidRDefault="00F83FEC" w:rsidP="00F83FEC">
      <w:pPr>
        <w:spacing w:after="0" w:line="240" w:lineRule="auto"/>
        <w:ind w:right="-547"/>
        <w:jc w:val="both"/>
        <w:rPr>
          <w:rFonts w:ascii="Arial" w:hAnsi="Arial" w:cs="Arial"/>
          <w:b/>
          <w:bCs/>
          <w:i/>
          <w:iCs/>
          <w:sz w:val="24"/>
          <w:szCs w:val="24"/>
        </w:rPr>
      </w:pPr>
      <w:r w:rsidRPr="00F83FEC">
        <w:rPr>
          <w:rFonts w:ascii="Arial" w:hAnsi="Arial" w:cs="Arial"/>
          <w:b/>
          <w:bCs/>
          <w:i/>
          <w:iCs/>
          <w:sz w:val="24"/>
          <w:szCs w:val="24"/>
        </w:rPr>
        <w:t>Technical assistance vs</w:t>
      </w:r>
      <w:r w:rsidRPr="00F83FEC">
        <w:rPr>
          <w:rFonts w:ascii="Arial" w:hAnsi="Arial" w:cs="Arial"/>
          <w:b/>
          <w:bCs/>
          <w:i/>
          <w:iCs/>
          <w:sz w:val="24"/>
          <w:szCs w:val="24"/>
        </w:rPr>
        <w:t>. AB 1491/L</w:t>
      </w:r>
      <w:r w:rsidRPr="00F83FEC">
        <w:rPr>
          <w:rFonts w:ascii="Arial" w:hAnsi="Arial" w:cs="Arial"/>
          <w:b/>
          <w:bCs/>
          <w:i/>
          <w:iCs/>
          <w:sz w:val="24"/>
          <w:szCs w:val="24"/>
        </w:rPr>
        <w:t xml:space="preserve">egislation </w:t>
      </w:r>
    </w:p>
    <w:p w14:paraId="538C8CFF" w14:textId="77777777" w:rsidR="00F83FEC" w:rsidRPr="00F83FEC" w:rsidRDefault="00F83FEC" w:rsidP="00F83FEC">
      <w:pPr>
        <w:spacing w:after="0" w:line="240" w:lineRule="auto"/>
        <w:ind w:right="-547"/>
        <w:jc w:val="both"/>
        <w:rPr>
          <w:rFonts w:ascii="Arial" w:hAnsi="Arial" w:cs="Arial"/>
          <w:sz w:val="24"/>
          <w:szCs w:val="24"/>
        </w:rPr>
      </w:pPr>
    </w:p>
    <w:p w14:paraId="434319AB" w14:textId="50EE6CFB" w:rsidR="00F83FEC" w:rsidRPr="00F83FEC" w:rsidRDefault="00F83FEC" w:rsidP="00F83FEC">
      <w:pPr>
        <w:spacing w:after="0" w:line="240" w:lineRule="auto"/>
        <w:ind w:right="-547"/>
        <w:jc w:val="both"/>
        <w:rPr>
          <w:rFonts w:ascii="Arial" w:hAnsi="Arial" w:cs="Arial"/>
          <w:sz w:val="24"/>
          <w:szCs w:val="24"/>
        </w:rPr>
      </w:pPr>
      <w:r w:rsidRPr="00F83FEC">
        <w:rPr>
          <w:rFonts w:ascii="Arial" w:hAnsi="Arial" w:cs="Arial"/>
          <w:sz w:val="24"/>
          <w:szCs w:val="24"/>
        </w:rPr>
        <w:t xml:space="preserve">Opponents to AB 1491 have argued the state should rely on technical assistance to resolve concerns regarding large amounts of carryover funding.  While the proponents have attempted to address the concerns within the CAEP Office, the issue remains an ongoing problem despite the state investing </w:t>
      </w:r>
      <w:r w:rsidRPr="00F83FEC">
        <w:rPr>
          <w:rFonts w:ascii="Arial" w:hAnsi="Arial" w:cs="Arial"/>
          <w:sz w:val="24"/>
          <w:szCs w:val="24"/>
        </w:rPr>
        <w:t xml:space="preserve">over $26 million dollars to </w:t>
      </w:r>
      <w:r w:rsidRPr="00F83FEC">
        <w:rPr>
          <w:rFonts w:ascii="Arial" w:hAnsi="Arial" w:cs="Arial"/>
          <w:sz w:val="24"/>
          <w:szCs w:val="24"/>
        </w:rPr>
        <w:t xml:space="preserve">the </w:t>
      </w:r>
      <w:r w:rsidRPr="00F83FEC">
        <w:rPr>
          <w:rFonts w:ascii="Arial" w:hAnsi="Arial" w:cs="Arial"/>
          <w:sz w:val="24"/>
          <w:szCs w:val="24"/>
        </w:rPr>
        <w:t>CCCCO for CAEP technical assistance</w:t>
      </w:r>
      <w:r w:rsidRPr="00F83FEC">
        <w:rPr>
          <w:rFonts w:ascii="Arial" w:hAnsi="Arial" w:cs="Arial"/>
          <w:sz w:val="24"/>
          <w:szCs w:val="24"/>
        </w:rPr>
        <w:t xml:space="preserve"> for these types of issues</w:t>
      </w:r>
      <w:r w:rsidRPr="00F83FEC">
        <w:rPr>
          <w:rFonts w:ascii="Arial" w:hAnsi="Arial" w:cs="Arial"/>
          <w:sz w:val="24"/>
          <w:szCs w:val="24"/>
        </w:rPr>
        <w:t xml:space="preserve">. </w:t>
      </w:r>
      <w:r w:rsidRPr="00F83FEC">
        <w:rPr>
          <w:rFonts w:ascii="Arial" w:hAnsi="Arial" w:cs="Arial"/>
          <w:sz w:val="24"/>
          <w:szCs w:val="24"/>
        </w:rPr>
        <w:t xml:space="preserve"> I</w:t>
      </w:r>
      <w:r w:rsidRPr="00F83FEC">
        <w:rPr>
          <w:rFonts w:ascii="Arial" w:hAnsi="Arial" w:cs="Arial"/>
          <w:sz w:val="24"/>
          <w:szCs w:val="24"/>
        </w:rPr>
        <w:t xml:space="preserve">n </w:t>
      </w:r>
      <w:r w:rsidRPr="00F83FEC">
        <w:rPr>
          <w:rFonts w:ascii="Arial" w:hAnsi="Arial" w:cs="Arial"/>
          <w:sz w:val="24"/>
          <w:szCs w:val="24"/>
        </w:rPr>
        <w:t>fact,</w:t>
      </w:r>
      <w:r w:rsidRPr="00F83FEC">
        <w:rPr>
          <w:rFonts w:ascii="Arial" w:hAnsi="Arial" w:cs="Arial"/>
          <w:sz w:val="24"/>
          <w:szCs w:val="24"/>
        </w:rPr>
        <w:t xml:space="preserve"> carryover continues to grow across the </w:t>
      </w:r>
      <w:r>
        <w:rPr>
          <w:rFonts w:ascii="Arial" w:hAnsi="Arial" w:cs="Arial"/>
          <w:sz w:val="24"/>
          <w:szCs w:val="24"/>
        </w:rPr>
        <w:t>s</w:t>
      </w:r>
      <w:r w:rsidRPr="00F83FEC">
        <w:rPr>
          <w:rFonts w:ascii="Arial" w:hAnsi="Arial" w:cs="Arial"/>
          <w:sz w:val="24"/>
          <w:szCs w:val="24"/>
        </w:rPr>
        <w:t xml:space="preserve">tate, and </w:t>
      </w:r>
      <w:r w:rsidRPr="00F83FEC">
        <w:rPr>
          <w:rFonts w:ascii="Arial" w:hAnsi="Arial" w:cs="Arial"/>
          <w:sz w:val="24"/>
          <w:szCs w:val="24"/>
        </w:rPr>
        <w:t xml:space="preserve">it is </w:t>
      </w:r>
      <w:r w:rsidRPr="00F83FEC">
        <w:rPr>
          <w:rFonts w:ascii="Arial" w:hAnsi="Arial" w:cs="Arial"/>
          <w:sz w:val="24"/>
          <w:szCs w:val="24"/>
        </w:rPr>
        <w:t xml:space="preserve">the proponents’ </w:t>
      </w:r>
      <w:r w:rsidRPr="00F83FEC">
        <w:rPr>
          <w:rFonts w:ascii="Arial" w:hAnsi="Arial" w:cs="Arial"/>
          <w:sz w:val="24"/>
          <w:szCs w:val="24"/>
        </w:rPr>
        <w:t xml:space="preserve">understanding that of the $26 million </w:t>
      </w:r>
      <w:r w:rsidRPr="00F83FEC">
        <w:rPr>
          <w:rFonts w:ascii="Arial" w:hAnsi="Arial" w:cs="Arial"/>
          <w:sz w:val="24"/>
          <w:szCs w:val="24"/>
        </w:rPr>
        <w:t xml:space="preserve">the </w:t>
      </w:r>
      <w:r w:rsidRPr="00F83FEC">
        <w:rPr>
          <w:rFonts w:ascii="Arial" w:hAnsi="Arial" w:cs="Arial"/>
          <w:sz w:val="24"/>
          <w:szCs w:val="24"/>
        </w:rPr>
        <w:t>CCCCO has received, $10 million remains unspent</w:t>
      </w:r>
      <w:r w:rsidRPr="00F83FEC">
        <w:rPr>
          <w:rFonts w:ascii="Arial" w:hAnsi="Arial" w:cs="Arial"/>
          <w:sz w:val="24"/>
          <w:szCs w:val="24"/>
        </w:rPr>
        <w:t xml:space="preserve"> – </w:t>
      </w:r>
      <w:r w:rsidRPr="00F83FEC">
        <w:rPr>
          <w:rFonts w:ascii="Arial" w:hAnsi="Arial" w:cs="Arial"/>
          <w:sz w:val="24"/>
          <w:szCs w:val="24"/>
        </w:rPr>
        <w:t>a 38% carryover.  </w:t>
      </w:r>
    </w:p>
    <w:p w14:paraId="5087F31E" w14:textId="77777777" w:rsidR="00F83FEC" w:rsidRDefault="00F83FEC"/>
    <w:sectPr w:rsidR="00F83FEC" w:rsidSect="00C57DE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9215" w14:textId="77777777" w:rsidR="008F4C00" w:rsidRDefault="008F4C00" w:rsidP="00C57DE6">
      <w:pPr>
        <w:spacing w:after="0" w:line="240" w:lineRule="auto"/>
      </w:pPr>
      <w:r>
        <w:separator/>
      </w:r>
    </w:p>
  </w:endnote>
  <w:endnote w:type="continuationSeparator" w:id="0">
    <w:p w14:paraId="6052490B" w14:textId="77777777" w:rsidR="008F4C00" w:rsidRDefault="008F4C00" w:rsidP="00C5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C1B0" w14:textId="77777777" w:rsidR="008F4C00" w:rsidRDefault="008F4C00" w:rsidP="00C57DE6">
      <w:pPr>
        <w:spacing w:after="0" w:line="240" w:lineRule="auto"/>
      </w:pPr>
      <w:r>
        <w:separator/>
      </w:r>
    </w:p>
  </w:footnote>
  <w:footnote w:type="continuationSeparator" w:id="0">
    <w:p w14:paraId="214A2FBB" w14:textId="77777777" w:rsidR="008F4C00" w:rsidRDefault="008F4C00" w:rsidP="00C57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60B3" w14:textId="7F79DFA0" w:rsidR="00C57DE6" w:rsidRPr="00C57DE6" w:rsidRDefault="00C57DE6" w:rsidP="00C57DE6">
    <w:pPr>
      <w:pStyle w:val="Header"/>
      <w:jc w:val="center"/>
      <w:rPr>
        <w:rFonts w:ascii="Arial" w:hAnsi="Arial" w:cs="Arial"/>
        <w:b/>
        <w:bCs/>
        <w:sz w:val="28"/>
        <w:szCs w:val="28"/>
      </w:rPr>
    </w:pPr>
    <w:r w:rsidRPr="00C57DE6">
      <w:rPr>
        <w:rFonts w:ascii="Arial" w:hAnsi="Arial" w:cs="Arial"/>
        <w:b/>
        <w:bCs/>
        <w:sz w:val="28"/>
        <w:szCs w:val="28"/>
      </w:rPr>
      <w:t>AB 1491 (McCarty) – Adult Education Carryover</w:t>
    </w:r>
  </w:p>
  <w:p w14:paraId="0184F0BE" w14:textId="596B8651" w:rsidR="00C57DE6" w:rsidRPr="00C57DE6" w:rsidRDefault="00C57DE6" w:rsidP="00C57DE6">
    <w:pPr>
      <w:pStyle w:val="Header"/>
      <w:jc w:val="center"/>
      <w:rPr>
        <w:rFonts w:ascii="Arial" w:hAnsi="Arial" w:cs="Arial"/>
        <w:b/>
        <w:bCs/>
        <w:sz w:val="28"/>
        <w:szCs w:val="28"/>
      </w:rPr>
    </w:pPr>
    <w:r w:rsidRPr="00C57DE6">
      <w:rPr>
        <w:rFonts w:ascii="Arial" w:hAnsi="Arial" w:cs="Arial"/>
        <w:b/>
        <w:bCs/>
        <w:sz w:val="28"/>
        <w:szCs w:val="28"/>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339D8"/>
    <w:multiLevelType w:val="hybridMultilevel"/>
    <w:tmpl w:val="87F89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E6"/>
    <w:rsid w:val="00202080"/>
    <w:rsid w:val="00340BBB"/>
    <w:rsid w:val="003D63F0"/>
    <w:rsid w:val="008F4C00"/>
    <w:rsid w:val="00BD3153"/>
    <w:rsid w:val="00BF475C"/>
    <w:rsid w:val="00C57DE6"/>
    <w:rsid w:val="00F8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1ED0"/>
  <w15:chartTrackingRefBased/>
  <w15:docId w15:val="{5C94F8C8-D0C7-4499-A188-A88CF6F5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E6"/>
  </w:style>
  <w:style w:type="paragraph" w:styleId="Footer">
    <w:name w:val="footer"/>
    <w:basedOn w:val="Normal"/>
    <w:link w:val="FooterChar"/>
    <w:uiPriority w:val="99"/>
    <w:unhideWhenUsed/>
    <w:rsid w:val="00C57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E6"/>
  </w:style>
  <w:style w:type="paragraph" w:customStyle="1" w:styleId="xmsonormal">
    <w:name w:val="x_msonormal"/>
    <w:basedOn w:val="Normal"/>
    <w:rsid w:val="00C57D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0BB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9604">
      <w:bodyDiv w:val="1"/>
      <w:marLeft w:val="0"/>
      <w:marRight w:val="0"/>
      <w:marTop w:val="0"/>
      <w:marBottom w:val="0"/>
      <w:divBdr>
        <w:top w:val="none" w:sz="0" w:space="0" w:color="auto"/>
        <w:left w:val="none" w:sz="0" w:space="0" w:color="auto"/>
        <w:bottom w:val="none" w:sz="0" w:space="0" w:color="auto"/>
        <w:right w:val="none" w:sz="0" w:space="0" w:color="auto"/>
      </w:divBdr>
    </w:div>
    <w:div w:id="656614416">
      <w:bodyDiv w:val="1"/>
      <w:marLeft w:val="0"/>
      <w:marRight w:val="0"/>
      <w:marTop w:val="0"/>
      <w:marBottom w:val="0"/>
      <w:divBdr>
        <w:top w:val="none" w:sz="0" w:space="0" w:color="auto"/>
        <w:left w:val="none" w:sz="0" w:space="0" w:color="auto"/>
        <w:bottom w:val="none" w:sz="0" w:space="0" w:color="auto"/>
        <w:right w:val="none" w:sz="0" w:space="0" w:color="auto"/>
      </w:divBdr>
    </w:div>
    <w:div w:id="833685277">
      <w:bodyDiv w:val="1"/>
      <w:marLeft w:val="0"/>
      <w:marRight w:val="0"/>
      <w:marTop w:val="0"/>
      <w:marBottom w:val="0"/>
      <w:divBdr>
        <w:top w:val="none" w:sz="0" w:space="0" w:color="auto"/>
        <w:left w:val="none" w:sz="0" w:space="0" w:color="auto"/>
        <w:bottom w:val="none" w:sz="0" w:space="0" w:color="auto"/>
        <w:right w:val="none" w:sz="0" w:space="0" w:color="auto"/>
      </w:divBdr>
    </w:div>
    <w:div w:id="1367870640">
      <w:bodyDiv w:val="1"/>
      <w:marLeft w:val="0"/>
      <w:marRight w:val="0"/>
      <w:marTop w:val="0"/>
      <w:marBottom w:val="0"/>
      <w:divBdr>
        <w:top w:val="none" w:sz="0" w:space="0" w:color="auto"/>
        <w:left w:val="none" w:sz="0" w:space="0" w:color="auto"/>
        <w:bottom w:val="none" w:sz="0" w:space="0" w:color="auto"/>
        <w:right w:val="none" w:sz="0" w:space="0" w:color="auto"/>
      </w:divBdr>
    </w:div>
    <w:div w:id="2112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Koepke</dc:creator>
  <cp:keywords/>
  <dc:description/>
  <cp:lastModifiedBy>Dawn Koepke</cp:lastModifiedBy>
  <cp:revision>4</cp:revision>
  <dcterms:created xsi:type="dcterms:W3CDTF">2022-02-22T22:14:00Z</dcterms:created>
  <dcterms:modified xsi:type="dcterms:W3CDTF">2022-03-01T02:06:00Z</dcterms:modified>
</cp:coreProperties>
</file>